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2901"/>
        <w:gridCol w:w="2901"/>
      </w:tblGrid>
      <w:tr w:rsidR="00E3529C" w14:paraId="4E9F89E1" w14:textId="77777777" w:rsidTr="00732106">
        <w:tc>
          <w:tcPr>
            <w:tcW w:w="3496" w:type="dxa"/>
            <w:vAlign w:val="center"/>
          </w:tcPr>
          <w:p w14:paraId="1C39D620" w14:textId="77777777" w:rsidR="00E3529C" w:rsidRDefault="00E3529C" w:rsidP="00732106">
            <w:pPr>
              <w:jc w:val="center"/>
              <w:rPr>
                <w:sz w:val="23"/>
                <w:szCs w:val="23"/>
              </w:rPr>
            </w:pPr>
            <w:r w:rsidRPr="00B950B7">
              <w:rPr>
                <w:sz w:val="23"/>
                <w:szCs w:val="23"/>
              </w:rPr>
              <w:drawing>
                <wp:inline distT="0" distB="0" distL="0" distR="0" wp14:anchorId="59794904" wp14:editId="1CF2F4D9">
                  <wp:extent cx="2839453" cy="923733"/>
                  <wp:effectExtent l="0" t="0" r="0" b="0"/>
                  <wp:docPr id="2" name="Picture 2" descr="C:\Users\Laila\AppData\Local\Microsoft\Windows\Temporary Internet Files\Content.Word\LATLIT_logo_mix_full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ila\AppData\Local\Microsoft\Windows\Temporary Internet Files\Content.Word\LATLIT_logo_mix_full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453" cy="923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71D84198" w14:textId="13546EB0" w:rsidR="00E3529C" w:rsidRDefault="00E3529C" w:rsidP="00732106">
            <w:pPr>
              <w:jc w:val="center"/>
              <w:rPr>
                <w:sz w:val="23"/>
                <w:szCs w:val="23"/>
              </w:rPr>
            </w:pPr>
            <w:r w:rsidRPr="00E3529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fldChar w:fldCharType="begin"/>
            </w:r>
            <w:r w:rsidRPr="00E3529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instrText xml:space="preserve"> INCLUDEPICTURE "https://www.daugavpils.lv/assets/images/daugavpils.jpg" \* MERGEFORMATINET </w:instrText>
            </w:r>
            <w:r w:rsidRPr="00E3529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3497" w:type="dxa"/>
            <w:vAlign w:val="center"/>
          </w:tcPr>
          <w:p w14:paraId="1059585C" w14:textId="292719D3" w:rsidR="00E3529C" w:rsidRDefault="00E3529C" w:rsidP="00732106">
            <w:pPr>
              <w:jc w:val="center"/>
              <w:rPr>
                <w:sz w:val="23"/>
                <w:szCs w:val="23"/>
              </w:rPr>
            </w:pPr>
            <w:r w:rsidRPr="00E3529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fldChar w:fldCharType="begin"/>
            </w:r>
            <w:r w:rsidRPr="00E3529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instrText xml:space="preserve"> INCLUDEPICTURE "https://du.lv/wp-content/uploads/2015/12/du_gerb_krasains_lv_krasains.jpg" \* MERGEFORMATINET </w:instrText>
            </w:r>
            <w:r w:rsidRPr="00E3529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  <w:fldChar w:fldCharType="end"/>
            </w:r>
          </w:p>
        </w:tc>
      </w:tr>
    </w:tbl>
    <w:p w14:paraId="7D102690" w14:textId="77777777" w:rsidR="002846E6" w:rsidRDefault="002846E6" w:rsidP="00214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14:paraId="45D1EC77" w14:textId="65EC8FCF" w:rsidR="00C22FDF" w:rsidRPr="003D3D34" w:rsidRDefault="00E66814" w:rsidP="00C22FDF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E66814">
        <w:rPr>
          <w:rFonts w:ascii="Times New Roman" w:hAnsi="Times New Roman" w:cs="Times New Roman"/>
          <w:b/>
          <w:sz w:val="24"/>
          <w:szCs w:val="24"/>
          <w:lang w:eastAsia="lv-LV"/>
        </w:rPr>
        <w:t>ACTIVITIES WITHIN THE FRAMEWORK OF THE URB-AREA PROJECT</w:t>
      </w:r>
      <w:r w:rsidR="00C22FDF" w:rsidRPr="00C22FD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C22FD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HAVE FINISHED </w:t>
      </w:r>
      <w:r w:rsidR="00C22FDF" w:rsidRPr="00E66814">
        <w:rPr>
          <w:rFonts w:ascii="Times New Roman" w:hAnsi="Times New Roman" w:cs="Times New Roman"/>
          <w:b/>
          <w:sz w:val="24"/>
          <w:szCs w:val="24"/>
          <w:lang w:eastAsia="lv-LV"/>
        </w:rPr>
        <w:t>SUCCESSFUL</w:t>
      </w:r>
      <w:r w:rsidR="00C22FDF">
        <w:rPr>
          <w:rFonts w:ascii="Times New Roman" w:hAnsi="Times New Roman" w:cs="Times New Roman"/>
          <w:b/>
          <w:sz w:val="24"/>
          <w:szCs w:val="24"/>
          <w:lang w:eastAsia="lv-LV"/>
        </w:rPr>
        <w:t>Y</w:t>
      </w:r>
    </w:p>
    <w:p w14:paraId="1C24B58C" w14:textId="77777777" w:rsidR="002846E6" w:rsidRPr="0057132A" w:rsidRDefault="002846E6" w:rsidP="00571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8E6A8" w14:textId="17C7CB74" w:rsidR="002907B6" w:rsidRPr="005E6982" w:rsidRDefault="005E6982" w:rsidP="005E6982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5E6982">
        <w:rPr>
          <w:rFonts w:ascii="Times New Roman" w:hAnsi="Times New Roman" w:cs="Times New Roman"/>
          <w:sz w:val="24"/>
          <w:szCs w:val="24"/>
          <w:lang w:val="la-Latn"/>
        </w:rPr>
        <w:t xml:space="preserve">Daugavpils City Council in cooperation with the Municipal Administration of the Anykščiai Region </w:t>
      </w:r>
      <w:r>
        <w:rPr>
          <w:rFonts w:ascii="Times New Roman" w:hAnsi="Times New Roman" w:cs="Times New Roman"/>
          <w:sz w:val="24"/>
          <w:szCs w:val="24"/>
          <w:lang w:val="lv-LV"/>
        </w:rPr>
        <w:t>implemented</w:t>
      </w:r>
      <w:r w:rsidRPr="005E6982">
        <w:rPr>
          <w:rFonts w:ascii="Times New Roman" w:hAnsi="Times New Roman" w:cs="Times New Roman"/>
          <w:sz w:val="24"/>
          <w:szCs w:val="24"/>
          <w:lang w:val="la-Latn"/>
        </w:rPr>
        <w:t xml:space="preserve"> a joint Interreg V-A Latvia – Lithuania Programme 2014-2020 (@LatviaLithuaniaProgramme) project No. LLI – 472 "Joint Management of Urban Wetland Areas in border region Latvia-Lithuania" (Urb-Area). The aim of the project </w:t>
      </w:r>
      <w:r>
        <w:rPr>
          <w:rFonts w:ascii="Times New Roman" w:hAnsi="Times New Roman" w:cs="Times New Roman"/>
          <w:sz w:val="24"/>
          <w:szCs w:val="24"/>
          <w:lang w:val="lv-LV"/>
        </w:rPr>
        <w:t>-</w:t>
      </w:r>
      <w:r w:rsidRPr="005E6982">
        <w:rPr>
          <w:rFonts w:ascii="Times New Roman" w:hAnsi="Times New Roman" w:cs="Times New Roman"/>
          <w:sz w:val="24"/>
          <w:szCs w:val="24"/>
          <w:lang w:val="la-Latn"/>
        </w:rPr>
        <w:t xml:space="preserve"> to develop a new and effective approach to joint cross-border management of urban wetlands.</w:t>
      </w:r>
    </w:p>
    <w:p w14:paraId="3E44B73A" w14:textId="77777777" w:rsidR="0057132A" w:rsidRPr="0057132A" w:rsidRDefault="0057132A" w:rsidP="0057132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D3B37A4" w14:textId="0A4D63E6" w:rsidR="00647D4A" w:rsidRDefault="005E6982" w:rsidP="00EC5B24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During two years</w:t>
      </w:r>
      <w:r w:rsidR="006B7487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various activities were carried out in Daugavpils municipality - p</w:t>
      </w:r>
      <w:r w:rsidR="006B7487" w:rsidRPr="006B7487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ond improvement works were implemented in the territory of the Esplanade to enhance the green infrastructure of Daugavpils urban wetland</w:t>
      </w:r>
      <w:r w:rsidR="00EC5B2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, as well as </w:t>
      </w:r>
      <w:r w:rsidR="00EC5B24" w:rsidRPr="00EC5B2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Latgale Zoo territory was improved</w:t>
      </w:r>
      <w:r w:rsidR="00EC5B2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, together with experts from Daugavpils University joiny </w:t>
      </w:r>
      <w:r w:rsidR="00EC5B24" w:rsidRPr="00EC5B2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DAUGAVPILS AND ANYKSCIAI URBAN WETLANDS MANAGEMENT PLAN</w:t>
      </w:r>
      <w:r w:rsidR="00EC5B2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was created, </w:t>
      </w:r>
      <w:r w:rsidR="00EC5B24" w:rsidRPr="00EC5B2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various public education activities have been</w:t>
      </w:r>
      <w:r w:rsidR="00EC5B2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organized. </w:t>
      </w:r>
      <w:r w:rsidR="002B68A7" w:rsidRPr="002B68A7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In order to raise environmental awareness and understanding of the need to preserve wetlands among residents and visitors of Daugavpils and Anykščiai</w:t>
      </w:r>
      <w:r w:rsidR="00CB0167" w:rsidRPr="00CB0167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, </w:t>
      </w:r>
      <w:r w:rsidR="002B68A7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on-line application was created within the project</w:t>
      </w:r>
      <w:r w:rsidR="00647D4A" w:rsidRPr="00647D4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, </w:t>
      </w:r>
      <w:r w:rsidR="002B68A7" w:rsidRPr="002B68A7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it provides an electronic catalogue of the most important species and biotopes of the Esplanade Wetland in Daugavpils and the Green Pond in Anykščiai</w:t>
      </w:r>
      <w:r w:rsidR="00647D4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, kā arī dažādi papildus eko-izglītības materiāli. </w:t>
      </w:r>
      <w:r w:rsidR="00EC5B2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Also </w:t>
      </w:r>
      <w:r w:rsidR="00EC5B24" w:rsidRPr="00EC5B2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online cameras have been installed in the </w:t>
      </w:r>
      <w:r w:rsidR="00EC5B2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Esplanade Wetland in Daugavpils, </w:t>
      </w:r>
      <w:r w:rsidR="00EC5B24" w:rsidRPr="00EC5B2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which can be connected and live-streamed via the application.</w:t>
      </w:r>
      <w:r w:rsidR="00EC5B2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All this</w:t>
      </w:r>
      <w:r w:rsidR="002B68A7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can be found here:</w:t>
      </w:r>
      <w:r w:rsidR="00647D4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B21B9B" w:rsidRPr="00B21B9B">
        <w:rPr>
          <w:rStyle w:val="Hyperlink"/>
          <w:rFonts w:ascii="Times New Roman" w:hAnsi="Times New Roman" w:cs="Times New Roman"/>
          <w:sz w:val="24"/>
          <w:szCs w:val="24"/>
          <w:lang w:val="lv-LV"/>
        </w:rPr>
        <w:t>https://urbanwetland.eu/</w:t>
      </w:r>
      <w:bookmarkStart w:id="0" w:name="_GoBack"/>
      <w:bookmarkEnd w:id="0"/>
    </w:p>
    <w:p w14:paraId="33D23CF6" w14:textId="77777777" w:rsidR="00647D4A" w:rsidRDefault="00647D4A" w:rsidP="00486AF5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512A2315" w14:textId="4F949CE9" w:rsidR="009F4F26" w:rsidRDefault="00E60E0D" w:rsidP="009F4F26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60E0D">
        <w:rPr>
          <w:rFonts w:ascii="Times New Roman" w:hAnsi="Times New Roman" w:cs="Times New Roman"/>
          <w:sz w:val="24"/>
          <w:szCs w:val="24"/>
          <w:highlight w:val="yellow"/>
          <w:lang w:val="lv-LV"/>
        </w:rPr>
        <w:t>VIDEO</w:t>
      </w:r>
    </w:p>
    <w:p w14:paraId="5890B38B" w14:textId="77777777" w:rsidR="009F4F26" w:rsidRPr="00DB0490" w:rsidRDefault="009F4F26" w:rsidP="009F4F26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09BB228" w14:textId="77777777" w:rsidR="00F67ABB" w:rsidRPr="00F67ABB" w:rsidRDefault="00F67ABB" w:rsidP="00F67AB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7ABB">
        <w:rPr>
          <w:rFonts w:ascii="Times New Roman" w:hAnsi="Times New Roman" w:cs="Times New Roman"/>
          <w:sz w:val="24"/>
          <w:szCs w:val="24"/>
          <w:lang w:val="en-GB"/>
        </w:rPr>
        <w:t>Project title: “Joint Management of Urban Wetland Areas in border region Latvia-Lithuania”</w:t>
      </w:r>
    </w:p>
    <w:p w14:paraId="200EA73D" w14:textId="77777777" w:rsidR="00F67ABB" w:rsidRPr="00F67ABB" w:rsidRDefault="00F67ABB" w:rsidP="00F67AB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7ABB">
        <w:rPr>
          <w:rFonts w:ascii="Times New Roman" w:hAnsi="Times New Roman" w:cs="Times New Roman"/>
          <w:sz w:val="24"/>
          <w:szCs w:val="24"/>
          <w:lang w:val="en-GB"/>
        </w:rPr>
        <w:t>Project acronym: Urb-Area</w:t>
      </w:r>
    </w:p>
    <w:p w14:paraId="6D3288A1" w14:textId="77777777" w:rsidR="00F67ABB" w:rsidRPr="00F67ABB" w:rsidRDefault="00F67ABB" w:rsidP="00F67AB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7ABB">
        <w:rPr>
          <w:rFonts w:ascii="Times New Roman" w:hAnsi="Times New Roman" w:cs="Times New Roman"/>
          <w:sz w:val="24"/>
          <w:szCs w:val="24"/>
          <w:lang w:val="en-GB"/>
        </w:rPr>
        <w:t>Project number: LLI – 472</w:t>
      </w:r>
    </w:p>
    <w:p w14:paraId="46B06E8A" w14:textId="77777777" w:rsidR="00F67ABB" w:rsidRPr="00F67ABB" w:rsidRDefault="00F67ABB" w:rsidP="00F67AB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7ABB">
        <w:rPr>
          <w:rFonts w:ascii="Times New Roman" w:hAnsi="Times New Roman" w:cs="Times New Roman"/>
          <w:sz w:val="24"/>
          <w:szCs w:val="24"/>
          <w:lang w:val="en-GB"/>
        </w:rPr>
        <w:t>ERDF funding: 319 719.36 EUR</w:t>
      </w:r>
    </w:p>
    <w:p w14:paraId="798D8D41" w14:textId="77777777" w:rsidR="00F67ABB" w:rsidRPr="00F67ABB" w:rsidRDefault="00F67ABB" w:rsidP="00F67AB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7ABB">
        <w:rPr>
          <w:rFonts w:ascii="Times New Roman" w:hAnsi="Times New Roman" w:cs="Times New Roman"/>
          <w:sz w:val="24"/>
          <w:szCs w:val="24"/>
          <w:lang w:val="en-GB"/>
        </w:rPr>
        <w:t>More about the project:</w:t>
      </w:r>
    </w:p>
    <w:p w14:paraId="4670F0BF" w14:textId="77777777" w:rsidR="00F67ABB" w:rsidRPr="00F67ABB" w:rsidRDefault="00B21B9B" w:rsidP="00F67AB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hyperlink r:id="rId8" w:history="1">
        <w:r w:rsidR="00F67ABB" w:rsidRPr="00F67ABB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https://www.daugavpils.lv/en/city/development-of-the-city/international-projects/urb-area</w:t>
        </w:r>
      </w:hyperlink>
    </w:p>
    <w:p w14:paraId="75D0AC38" w14:textId="77777777" w:rsidR="00F67ABB" w:rsidRPr="00F67ABB" w:rsidRDefault="00F67ABB" w:rsidP="00F67AB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0762D45" w14:textId="616BE291" w:rsidR="00DB0490" w:rsidRPr="00DA2334" w:rsidRDefault="00F67ABB" w:rsidP="00F67ABB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F67ABB">
        <w:rPr>
          <w:rFonts w:ascii="Times New Roman" w:hAnsi="Times New Roman" w:cs="Times New Roman"/>
          <w:i/>
          <w:sz w:val="24"/>
          <w:szCs w:val="24"/>
          <w:lang w:val="en-GB"/>
        </w:rPr>
        <w:t>The contents are the sole responsibility of Daugavpils City Municipality and can under no circumstances be regarded as reflecting the position of the European Union.</w:t>
      </w:r>
      <w:r w:rsidR="00DA2334" w:rsidRPr="00DA2334">
        <w:rPr>
          <w:rFonts w:ascii="Times New Roman" w:hAnsi="Times New Roman" w:cs="Times New Roman"/>
          <w:i/>
          <w:sz w:val="24"/>
          <w:szCs w:val="24"/>
          <w:lang w:val="lv-LV"/>
        </w:rPr>
        <w:t>.</w:t>
      </w:r>
    </w:p>
    <w:p w14:paraId="469AD99E" w14:textId="77777777" w:rsidR="00BC4CEC" w:rsidRPr="00BC4CEC" w:rsidRDefault="00BC4CEC" w:rsidP="00DB0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482287A" w14:textId="77777777" w:rsidR="00C33FE4" w:rsidRDefault="00C33FE4" w:rsidP="00D75E2C">
      <w:pPr>
        <w:spacing w:after="0" w:line="240" w:lineRule="auto"/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</w:pPr>
    </w:p>
    <w:p w14:paraId="1E17110C" w14:textId="05CFD66D" w:rsidR="009368D6" w:rsidRDefault="00F67ABB" w:rsidP="00027A5F">
      <w:pPr>
        <w:spacing w:after="0" w:line="240" w:lineRule="auto"/>
        <w:ind w:left="992"/>
        <w:jc w:val="right"/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</w:pPr>
      <w:r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>Information prepared by</w:t>
      </w:r>
    </w:p>
    <w:p w14:paraId="5B3D4F7E" w14:textId="708085AA" w:rsidR="00647D4A" w:rsidRPr="00647D4A" w:rsidRDefault="00F67ABB" w:rsidP="00027A5F">
      <w:pPr>
        <w:spacing w:after="0" w:line="240" w:lineRule="auto"/>
        <w:ind w:left="992"/>
        <w:jc w:val="right"/>
        <w:rPr>
          <w:rStyle w:val="Strong"/>
          <w:rFonts w:ascii="Times New Roman" w:hAnsi="Times New Roman" w:cs="Times New Roman"/>
          <w:b w:val="0"/>
          <w:i/>
          <w:color w:val="222222"/>
          <w:sz w:val="24"/>
          <w:szCs w:val="24"/>
          <w:shd w:val="clear" w:color="auto" w:fill="FFFFFF"/>
          <w:lang w:val="lv-LV"/>
        </w:rPr>
      </w:pPr>
      <w:r>
        <w:rPr>
          <w:rStyle w:val="Strong"/>
          <w:rFonts w:ascii="Times New Roman" w:hAnsi="Times New Roman" w:cs="Times New Roman"/>
          <w:b w:val="0"/>
          <w:i/>
          <w:color w:val="222222"/>
          <w:sz w:val="24"/>
          <w:szCs w:val="24"/>
          <w:shd w:val="clear" w:color="auto" w:fill="FFFFFF"/>
          <w:lang w:val="lv-LV"/>
        </w:rPr>
        <w:t>Development department</w:t>
      </w:r>
    </w:p>
    <w:p w14:paraId="2B9A160C" w14:textId="2E1F5B17" w:rsidR="00647D4A" w:rsidRPr="00647D4A" w:rsidRDefault="00F67ABB" w:rsidP="00027A5F">
      <w:pPr>
        <w:spacing w:after="0" w:line="240" w:lineRule="auto"/>
        <w:ind w:left="992"/>
        <w:jc w:val="right"/>
        <w:rPr>
          <w:rStyle w:val="Strong"/>
          <w:rFonts w:ascii="Times New Roman" w:hAnsi="Times New Roman" w:cs="Times New Roman"/>
          <w:b w:val="0"/>
          <w:i/>
          <w:color w:val="222222"/>
          <w:sz w:val="24"/>
          <w:szCs w:val="24"/>
          <w:shd w:val="clear" w:color="auto" w:fill="FFFFFF"/>
          <w:lang w:val="lv-LV"/>
        </w:rPr>
      </w:pPr>
      <w:r>
        <w:rPr>
          <w:rStyle w:val="Strong"/>
          <w:rFonts w:ascii="Times New Roman" w:hAnsi="Times New Roman" w:cs="Times New Roman"/>
          <w:b w:val="0"/>
          <w:i/>
          <w:color w:val="222222"/>
          <w:sz w:val="24"/>
          <w:szCs w:val="24"/>
          <w:shd w:val="clear" w:color="auto" w:fill="FFFFFF"/>
          <w:lang w:val="lv-LV"/>
        </w:rPr>
        <w:t>Divisinon of Investments and International Cooperation</w:t>
      </w:r>
    </w:p>
    <w:p w14:paraId="034CD553" w14:textId="350A2ED0" w:rsidR="00647D4A" w:rsidRPr="00027A5F" w:rsidRDefault="00B21B9B" w:rsidP="00027A5F">
      <w:pPr>
        <w:spacing w:after="0" w:line="240" w:lineRule="auto"/>
        <w:ind w:left="992"/>
        <w:jc w:val="right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hyperlink r:id="rId9" w:history="1">
        <w:r w:rsidR="00647D4A" w:rsidRPr="00CE28A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lv-LV"/>
          </w:rPr>
          <w:t>attistiba@daugavpils.lv</w:t>
        </w:r>
      </w:hyperlink>
      <w:r w:rsidR="00647D4A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v-LV"/>
        </w:rPr>
        <w:t xml:space="preserve"> </w:t>
      </w:r>
    </w:p>
    <w:sectPr w:rsidR="00647D4A" w:rsidRPr="00027A5F" w:rsidSect="007568F7">
      <w:footerReference w:type="even" r:id="rId10"/>
      <w:footerReference w:type="default" r:id="rId11"/>
      <w:pgSz w:w="12240" w:h="15840"/>
      <w:pgMar w:top="567" w:right="1041" w:bottom="1395" w:left="0" w:header="0" w:footer="2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6A283" w14:textId="77777777" w:rsidR="00AE6073" w:rsidRDefault="00AE6073" w:rsidP="003F53D3">
      <w:pPr>
        <w:spacing w:after="0" w:line="240" w:lineRule="auto"/>
      </w:pPr>
      <w:r>
        <w:separator/>
      </w:r>
    </w:p>
  </w:endnote>
  <w:endnote w:type="continuationSeparator" w:id="0">
    <w:p w14:paraId="7FA1667F" w14:textId="77777777" w:rsidR="00AE6073" w:rsidRDefault="00AE6073" w:rsidP="003F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6C0C2" w14:textId="5C46E2D9" w:rsidR="008F35BA" w:rsidRDefault="008F35BA" w:rsidP="002A1CA4">
    <w:pPr>
      <w:pStyle w:val="Footer"/>
      <w:ind w:left="1276"/>
      <w:jc w:val="center"/>
    </w:pPr>
  </w:p>
  <w:p w14:paraId="68CDD261" w14:textId="77777777" w:rsidR="008F35BA" w:rsidRDefault="008F35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1C5ED" w14:textId="4CBBB89A" w:rsidR="005B40DB" w:rsidRDefault="005B40DB" w:rsidP="002A1CA4">
    <w:pPr>
      <w:pStyle w:val="Footer"/>
      <w:tabs>
        <w:tab w:val="center" w:pos="5599"/>
        <w:tab w:val="left" w:pos="9802"/>
      </w:tabs>
      <w:ind w:left="99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9C124" w14:textId="77777777" w:rsidR="00AE6073" w:rsidRDefault="00AE6073" w:rsidP="003F53D3">
      <w:pPr>
        <w:spacing w:after="0" w:line="240" w:lineRule="auto"/>
      </w:pPr>
      <w:r>
        <w:separator/>
      </w:r>
    </w:p>
  </w:footnote>
  <w:footnote w:type="continuationSeparator" w:id="0">
    <w:p w14:paraId="3CF46D1B" w14:textId="77777777" w:rsidR="00AE6073" w:rsidRDefault="00AE6073" w:rsidP="003F5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148E"/>
    <w:multiLevelType w:val="hybridMultilevel"/>
    <w:tmpl w:val="A12A58CA"/>
    <w:lvl w:ilvl="0" w:tplc="BD944A42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0EB5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865D80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2C5C2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944CF2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16AC9A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00CA66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E6274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98DB48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813CF"/>
    <w:multiLevelType w:val="hybridMultilevel"/>
    <w:tmpl w:val="14FED11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43403"/>
    <w:multiLevelType w:val="hybridMultilevel"/>
    <w:tmpl w:val="1A6CE7EE"/>
    <w:lvl w:ilvl="0" w:tplc="15BE9778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08C7D2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78FE22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EA2492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4E16AE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BCB04E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2B31E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52EF20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525A86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619D8"/>
    <w:multiLevelType w:val="hybridMultilevel"/>
    <w:tmpl w:val="FEF257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F4062"/>
    <w:multiLevelType w:val="hybridMultilevel"/>
    <w:tmpl w:val="55F63296"/>
    <w:lvl w:ilvl="0" w:tplc="F79A8730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27AA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8ED2C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ACC3E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8E5BFA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AA7926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4B01A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620256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305EF8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B1C56"/>
    <w:multiLevelType w:val="hybridMultilevel"/>
    <w:tmpl w:val="F0EC3CE2"/>
    <w:lvl w:ilvl="0" w:tplc="7D6892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BD"/>
    <w:rsid w:val="00011CE8"/>
    <w:rsid w:val="00013470"/>
    <w:rsid w:val="000167BD"/>
    <w:rsid w:val="00023F34"/>
    <w:rsid w:val="00024E06"/>
    <w:rsid w:val="00027A5F"/>
    <w:rsid w:val="00027EFB"/>
    <w:rsid w:val="000623C8"/>
    <w:rsid w:val="0008047F"/>
    <w:rsid w:val="000C5205"/>
    <w:rsid w:val="000E4E9F"/>
    <w:rsid w:val="00102585"/>
    <w:rsid w:val="00122C8B"/>
    <w:rsid w:val="00130859"/>
    <w:rsid w:val="00130926"/>
    <w:rsid w:val="001321D8"/>
    <w:rsid w:val="00147ABF"/>
    <w:rsid w:val="0015017F"/>
    <w:rsid w:val="001513E5"/>
    <w:rsid w:val="001658FE"/>
    <w:rsid w:val="00187192"/>
    <w:rsid w:val="00195B5F"/>
    <w:rsid w:val="001A451E"/>
    <w:rsid w:val="001C4FA8"/>
    <w:rsid w:val="001D43E2"/>
    <w:rsid w:val="001F5E17"/>
    <w:rsid w:val="00205C3D"/>
    <w:rsid w:val="002107F4"/>
    <w:rsid w:val="002117BD"/>
    <w:rsid w:val="00212685"/>
    <w:rsid w:val="00214B5F"/>
    <w:rsid w:val="002617EB"/>
    <w:rsid w:val="00280403"/>
    <w:rsid w:val="002846E6"/>
    <w:rsid w:val="002907B6"/>
    <w:rsid w:val="002959C1"/>
    <w:rsid w:val="002A08A3"/>
    <w:rsid w:val="002A1CA4"/>
    <w:rsid w:val="002A20EF"/>
    <w:rsid w:val="002B68A7"/>
    <w:rsid w:val="002C2DA6"/>
    <w:rsid w:val="002E7B09"/>
    <w:rsid w:val="002F19EA"/>
    <w:rsid w:val="003058CD"/>
    <w:rsid w:val="00314334"/>
    <w:rsid w:val="00321242"/>
    <w:rsid w:val="003348C6"/>
    <w:rsid w:val="00367844"/>
    <w:rsid w:val="00377383"/>
    <w:rsid w:val="003845FB"/>
    <w:rsid w:val="003928A9"/>
    <w:rsid w:val="003B043A"/>
    <w:rsid w:val="003B3013"/>
    <w:rsid w:val="003B6466"/>
    <w:rsid w:val="003C16A1"/>
    <w:rsid w:val="003D3D34"/>
    <w:rsid w:val="003F53D3"/>
    <w:rsid w:val="004053B1"/>
    <w:rsid w:val="00406218"/>
    <w:rsid w:val="00414598"/>
    <w:rsid w:val="00435BCF"/>
    <w:rsid w:val="00436CDA"/>
    <w:rsid w:val="00440CD4"/>
    <w:rsid w:val="00443B8A"/>
    <w:rsid w:val="0046561F"/>
    <w:rsid w:val="00470E07"/>
    <w:rsid w:val="00486AF5"/>
    <w:rsid w:val="00492F7C"/>
    <w:rsid w:val="004955E9"/>
    <w:rsid w:val="004B60F8"/>
    <w:rsid w:val="004C3A1D"/>
    <w:rsid w:val="004C4279"/>
    <w:rsid w:val="004D077F"/>
    <w:rsid w:val="004F4358"/>
    <w:rsid w:val="005063E5"/>
    <w:rsid w:val="005145E9"/>
    <w:rsid w:val="00520EFF"/>
    <w:rsid w:val="00532676"/>
    <w:rsid w:val="00533DB2"/>
    <w:rsid w:val="00551282"/>
    <w:rsid w:val="00562613"/>
    <w:rsid w:val="0057132A"/>
    <w:rsid w:val="00571394"/>
    <w:rsid w:val="00573AFD"/>
    <w:rsid w:val="00580EC0"/>
    <w:rsid w:val="0058299C"/>
    <w:rsid w:val="00592A31"/>
    <w:rsid w:val="005B40DB"/>
    <w:rsid w:val="005B5AB6"/>
    <w:rsid w:val="005C346C"/>
    <w:rsid w:val="005D019A"/>
    <w:rsid w:val="005D3D34"/>
    <w:rsid w:val="005E6982"/>
    <w:rsid w:val="0060689A"/>
    <w:rsid w:val="00606902"/>
    <w:rsid w:val="00616DA2"/>
    <w:rsid w:val="0062246A"/>
    <w:rsid w:val="00624937"/>
    <w:rsid w:val="0062647C"/>
    <w:rsid w:val="00647D4A"/>
    <w:rsid w:val="00652B34"/>
    <w:rsid w:val="0066709F"/>
    <w:rsid w:val="00675AC2"/>
    <w:rsid w:val="00693D5F"/>
    <w:rsid w:val="006A5F7F"/>
    <w:rsid w:val="006B7487"/>
    <w:rsid w:val="006C0CF2"/>
    <w:rsid w:val="006C14AC"/>
    <w:rsid w:val="006C3213"/>
    <w:rsid w:val="006C6A11"/>
    <w:rsid w:val="006E47C2"/>
    <w:rsid w:val="006E79A5"/>
    <w:rsid w:val="0070020B"/>
    <w:rsid w:val="00716D99"/>
    <w:rsid w:val="007568F7"/>
    <w:rsid w:val="00765695"/>
    <w:rsid w:val="00780B7B"/>
    <w:rsid w:val="007A0532"/>
    <w:rsid w:val="007A1B2E"/>
    <w:rsid w:val="007A2F78"/>
    <w:rsid w:val="007B5FBC"/>
    <w:rsid w:val="007D28D9"/>
    <w:rsid w:val="00807EB4"/>
    <w:rsid w:val="00812840"/>
    <w:rsid w:val="008174CF"/>
    <w:rsid w:val="00823B74"/>
    <w:rsid w:val="00833A34"/>
    <w:rsid w:val="00840D1F"/>
    <w:rsid w:val="00841C32"/>
    <w:rsid w:val="00842E37"/>
    <w:rsid w:val="00863441"/>
    <w:rsid w:val="008653D9"/>
    <w:rsid w:val="008868C8"/>
    <w:rsid w:val="008923CF"/>
    <w:rsid w:val="00896FCD"/>
    <w:rsid w:val="008B22EA"/>
    <w:rsid w:val="008C3468"/>
    <w:rsid w:val="008F35BA"/>
    <w:rsid w:val="00907F38"/>
    <w:rsid w:val="009368D6"/>
    <w:rsid w:val="00937DA4"/>
    <w:rsid w:val="00942324"/>
    <w:rsid w:val="0094482D"/>
    <w:rsid w:val="00966AAE"/>
    <w:rsid w:val="00982D29"/>
    <w:rsid w:val="00992D06"/>
    <w:rsid w:val="009956F4"/>
    <w:rsid w:val="009A73DB"/>
    <w:rsid w:val="009B47B5"/>
    <w:rsid w:val="009D6897"/>
    <w:rsid w:val="009F4F26"/>
    <w:rsid w:val="00A04B9E"/>
    <w:rsid w:val="00A16E1F"/>
    <w:rsid w:val="00A470FB"/>
    <w:rsid w:val="00A55463"/>
    <w:rsid w:val="00A904DC"/>
    <w:rsid w:val="00AA0C9B"/>
    <w:rsid w:val="00AA5FF5"/>
    <w:rsid w:val="00AC173C"/>
    <w:rsid w:val="00AE6073"/>
    <w:rsid w:val="00B21B9B"/>
    <w:rsid w:val="00B55B9E"/>
    <w:rsid w:val="00B95386"/>
    <w:rsid w:val="00B96AAC"/>
    <w:rsid w:val="00BC4CEC"/>
    <w:rsid w:val="00BC5216"/>
    <w:rsid w:val="00BE13C0"/>
    <w:rsid w:val="00BE5BFB"/>
    <w:rsid w:val="00C01EC7"/>
    <w:rsid w:val="00C061BA"/>
    <w:rsid w:val="00C13642"/>
    <w:rsid w:val="00C22FDF"/>
    <w:rsid w:val="00C33FE4"/>
    <w:rsid w:val="00C340DF"/>
    <w:rsid w:val="00C35D81"/>
    <w:rsid w:val="00C423AD"/>
    <w:rsid w:val="00C47E71"/>
    <w:rsid w:val="00C65791"/>
    <w:rsid w:val="00C66DFF"/>
    <w:rsid w:val="00C800D1"/>
    <w:rsid w:val="00CB009F"/>
    <w:rsid w:val="00CB0167"/>
    <w:rsid w:val="00CC353F"/>
    <w:rsid w:val="00CC5C9E"/>
    <w:rsid w:val="00CC5E15"/>
    <w:rsid w:val="00CC7BA2"/>
    <w:rsid w:val="00CD1442"/>
    <w:rsid w:val="00CD277B"/>
    <w:rsid w:val="00CE5D0A"/>
    <w:rsid w:val="00D0004F"/>
    <w:rsid w:val="00D24262"/>
    <w:rsid w:val="00D32401"/>
    <w:rsid w:val="00D75E2C"/>
    <w:rsid w:val="00D84425"/>
    <w:rsid w:val="00DA2334"/>
    <w:rsid w:val="00DA574C"/>
    <w:rsid w:val="00DB0490"/>
    <w:rsid w:val="00DD2CFC"/>
    <w:rsid w:val="00E05FE3"/>
    <w:rsid w:val="00E1475E"/>
    <w:rsid w:val="00E1557D"/>
    <w:rsid w:val="00E3529C"/>
    <w:rsid w:val="00E427D7"/>
    <w:rsid w:val="00E42CAF"/>
    <w:rsid w:val="00E50975"/>
    <w:rsid w:val="00E60E0D"/>
    <w:rsid w:val="00E66814"/>
    <w:rsid w:val="00E758B1"/>
    <w:rsid w:val="00E805DA"/>
    <w:rsid w:val="00E84A7E"/>
    <w:rsid w:val="00E87A5E"/>
    <w:rsid w:val="00E922AA"/>
    <w:rsid w:val="00EA6DD1"/>
    <w:rsid w:val="00EC5B24"/>
    <w:rsid w:val="00ED1151"/>
    <w:rsid w:val="00EE5544"/>
    <w:rsid w:val="00F076B6"/>
    <w:rsid w:val="00F10583"/>
    <w:rsid w:val="00F17C4E"/>
    <w:rsid w:val="00F21EAF"/>
    <w:rsid w:val="00F22C55"/>
    <w:rsid w:val="00F24A20"/>
    <w:rsid w:val="00F30AE6"/>
    <w:rsid w:val="00F330AB"/>
    <w:rsid w:val="00F35E0E"/>
    <w:rsid w:val="00F67ABB"/>
    <w:rsid w:val="00F734BB"/>
    <w:rsid w:val="00F86FA5"/>
    <w:rsid w:val="00F93A58"/>
    <w:rsid w:val="00FA4325"/>
    <w:rsid w:val="00FA771C"/>
    <w:rsid w:val="00FB1DA9"/>
    <w:rsid w:val="00FB229D"/>
    <w:rsid w:val="00FB3BAF"/>
    <w:rsid w:val="00FD23A7"/>
    <w:rsid w:val="00FD3D6E"/>
    <w:rsid w:val="00FE3344"/>
    <w:rsid w:val="00FF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A1CB337"/>
  <w15:docId w15:val="{E9D5175C-1D93-48E5-968B-E4209B32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link w:val="Heading1Char"/>
    <w:uiPriority w:val="9"/>
    <w:qFormat/>
    <w:rsid w:val="00CC5E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lv-LV"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7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E15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3F53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3D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3F53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3D3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3D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unhideWhenUsed/>
    <w:rsid w:val="00622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lv-LV" w:eastAsia="lv-LV"/>
    </w:rPr>
  </w:style>
  <w:style w:type="character" w:customStyle="1" w:styleId="apple-converted-space">
    <w:name w:val="apple-converted-space"/>
    <w:basedOn w:val="DefaultParagraphFont"/>
    <w:rsid w:val="0062246A"/>
  </w:style>
  <w:style w:type="character" w:styleId="Strong">
    <w:name w:val="Strong"/>
    <w:basedOn w:val="DefaultParagraphFont"/>
    <w:uiPriority w:val="22"/>
    <w:qFormat/>
    <w:rsid w:val="003058CD"/>
    <w:rPr>
      <w:b/>
      <w:bCs/>
    </w:rPr>
  </w:style>
  <w:style w:type="paragraph" w:customStyle="1" w:styleId="naisf">
    <w:name w:val="naisf"/>
    <w:basedOn w:val="Normal"/>
    <w:rsid w:val="00CC5C9E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noProof w:val="0"/>
      <w:sz w:val="24"/>
      <w:szCs w:val="24"/>
      <w:lang w:val="lv-LV" w:eastAsia="lv-LV"/>
    </w:rPr>
  </w:style>
  <w:style w:type="character" w:styleId="Hyperlink">
    <w:name w:val="Hyperlink"/>
    <w:uiPriority w:val="99"/>
    <w:rsid w:val="00616DA2"/>
    <w:rPr>
      <w:color w:val="0000FF"/>
      <w:u w:val="single"/>
    </w:rPr>
  </w:style>
  <w:style w:type="character" w:customStyle="1" w:styleId="izcelts">
    <w:name w:val="izcelts"/>
    <w:basedOn w:val="DefaultParagraphFont"/>
    <w:rsid w:val="00616DA2"/>
  </w:style>
  <w:style w:type="paragraph" w:styleId="ListParagraph">
    <w:name w:val="List Paragraph"/>
    <w:basedOn w:val="Normal"/>
    <w:uiPriority w:val="34"/>
    <w:qFormat/>
    <w:rsid w:val="00616DA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E47C2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table" w:styleId="TableGrid">
    <w:name w:val="Table Grid"/>
    <w:basedOn w:val="TableNormal"/>
    <w:uiPriority w:val="59"/>
    <w:rsid w:val="006E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42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lv-LV"/>
    </w:rPr>
  </w:style>
  <w:style w:type="paragraph" w:customStyle="1" w:styleId="Standard">
    <w:name w:val="Standard"/>
    <w:rsid w:val="00BE13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  <w:style w:type="paragraph" w:styleId="FootnoteText">
    <w:name w:val="footnote text"/>
    <w:basedOn w:val="Normal"/>
    <w:link w:val="FootnoteTextChar"/>
    <w:rsid w:val="001321D8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rsid w:val="001321D8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3D3D34"/>
    <w:rPr>
      <w:color w:val="800080" w:themeColor="followedHyperlink"/>
      <w:u w:val="single"/>
    </w:rPr>
  </w:style>
  <w:style w:type="paragraph" w:customStyle="1" w:styleId="v1mcntmsolistparagraph">
    <w:name w:val="v1mcntmsolistparagraph"/>
    <w:basedOn w:val="Normal"/>
    <w:rsid w:val="0002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5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7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90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ugavpils.lv/en/city/development-of-the-city/international-projects/urb-are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ttistiba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Jolanta Reca</cp:lastModifiedBy>
  <cp:revision>26</cp:revision>
  <cp:lastPrinted>2019-11-28T15:43:00Z</cp:lastPrinted>
  <dcterms:created xsi:type="dcterms:W3CDTF">2021-11-30T11:48:00Z</dcterms:created>
  <dcterms:modified xsi:type="dcterms:W3CDTF">2022-10-03T11:34:00Z</dcterms:modified>
</cp:coreProperties>
</file>